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3C" w:rsidRPr="005C68E6" w:rsidRDefault="00D53B06" w:rsidP="00EC738C">
      <w:pPr>
        <w:jc w:val="center"/>
        <w:rPr>
          <w:rFonts w:ascii="Times New Roman" w:hAnsi="Times New Roman"/>
          <w:bCs/>
          <w:sz w:val="16"/>
          <w:szCs w:val="16"/>
        </w:rPr>
      </w:pPr>
      <w:r w:rsidRPr="00EC738C">
        <w:rPr>
          <w:sz w:val="32"/>
          <w:szCs w:val="32"/>
        </w:rPr>
        <w:t xml:space="preserve"> </w:t>
      </w:r>
      <w:r w:rsidR="00EC738C" w:rsidRPr="00EC738C">
        <w:rPr>
          <w:rFonts w:ascii="Times New Roman" w:hAnsi="Times New Roman"/>
          <w:b/>
          <w:bCs/>
          <w:sz w:val="32"/>
          <w:szCs w:val="32"/>
          <w:u w:val="single"/>
        </w:rPr>
        <w:t>J</w:t>
      </w:r>
      <w:r w:rsidR="00FB6D48">
        <w:rPr>
          <w:rFonts w:ascii="Times New Roman" w:hAnsi="Times New Roman"/>
          <w:b/>
          <w:bCs/>
          <w:sz w:val="32"/>
          <w:szCs w:val="32"/>
          <w:u w:val="single"/>
        </w:rPr>
        <w:t xml:space="preserve">ordan Tower </w:t>
      </w:r>
      <w:r w:rsidR="00EC738C" w:rsidRPr="00EC738C">
        <w:rPr>
          <w:rFonts w:ascii="Times New Roman" w:hAnsi="Times New Roman"/>
          <w:b/>
          <w:bCs/>
          <w:sz w:val="32"/>
          <w:szCs w:val="32"/>
          <w:u w:val="single"/>
        </w:rPr>
        <w:t>I Renovation Project</w:t>
      </w:r>
    </w:p>
    <w:p w:rsidR="006728F0" w:rsidRDefault="006728F0" w:rsidP="00EC738C">
      <w:pPr>
        <w:jc w:val="center"/>
        <w:rPr>
          <w:rFonts w:ascii="Times New Roman" w:hAnsi="Times New Roman"/>
          <w:b/>
          <w:bCs/>
          <w:i/>
          <w:sz w:val="32"/>
          <w:szCs w:val="32"/>
        </w:rPr>
      </w:pPr>
      <w:r>
        <w:rPr>
          <w:rFonts w:ascii="Times New Roman" w:hAnsi="Times New Roman"/>
          <w:b/>
          <w:bCs/>
          <w:i/>
          <w:sz w:val="32"/>
          <w:szCs w:val="32"/>
        </w:rPr>
        <w:t>Notice #2</w:t>
      </w:r>
    </w:p>
    <w:p w:rsidR="00E43BE5" w:rsidRPr="005C68E6" w:rsidRDefault="004867AC" w:rsidP="00EC738C">
      <w:pPr>
        <w:jc w:val="center"/>
        <w:rPr>
          <w:rFonts w:ascii="Times New Roman" w:hAnsi="Times New Roman"/>
          <w:b/>
          <w:bCs/>
          <w:i/>
          <w:sz w:val="32"/>
          <w:szCs w:val="32"/>
        </w:rPr>
      </w:pPr>
      <w:r>
        <w:rPr>
          <w:rFonts w:ascii="Times New Roman" w:hAnsi="Times New Roman"/>
          <w:b/>
          <w:bCs/>
          <w:i/>
          <w:sz w:val="32"/>
          <w:szCs w:val="32"/>
        </w:rPr>
        <w:t xml:space="preserve">Upcoming </w:t>
      </w:r>
      <w:r w:rsidR="00E21953">
        <w:rPr>
          <w:rFonts w:ascii="Times New Roman" w:hAnsi="Times New Roman"/>
          <w:b/>
          <w:bCs/>
          <w:i/>
          <w:sz w:val="32"/>
          <w:szCs w:val="32"/>
        </w:rPr>
        <w:t>Steps &amp; Processes</w:t>
      </w:r>
    </w:p>
    <w:p w:rsidR="00D83A79" w:rsidRDefault="00D83A79" w:rsidP="00EC738C">
      <w:pPr>
        <w:jc w:val="center"/>
        <w:rPr>
          <w:rFonts w:ascii="Times New Roman" w:hAnsi="Times New Roman"/>
          <w:b/>
          <w:bCs/>
          <w:i/>
          <w:sz w:val="28"/>
          <w:szCs w:val="28"/>
        </w:rPr>
      </w:pPr>
    </w:p>
    <w:p w:rsidR="00D83A79" w:rsidRDefault="00067F6A" w:rsidP="00E43BE5">
      <w:pPr>
        <w:rPr>
          <w:rFonts w:ascii="Times New Roman" w:hAnsi="Times New Roman"/>
          <w:bCs/>
          <w:sz w:val="28"/>
          <w:szCs w:val="28"/>
          <w:u w:val="single"/>
        </w:rPr>
      </w:pPr>
      <w:r>
        <w:rPr>
          <w:rFonts w:ascii="Times New Roman" w:hAnsi="Times New Roman"/>
          <w:bCs/>
          <w:sz w:val="28"/>
          <w:szCs w:val="28"/>
          <w:u w:val="single"/>
        </w:rPr>
        <w:t>HRA</w:t>
      </w:r>
      <w:r w:rsidR="00D83A79">
        <w:rPr>
          <w:rFonts w:ascii="Times New Roman" w:hAnsi="Times New Roman"/>
          <w:bCs/>
          <w:sz w:val="28"/>
          <w:szCs w:val="28"/>
          <w:u w:val="single"/>
        </w:rPr>
        <w:t xml:space="preserve"> Paperwork</w:t>
      </w:r>
    </w:p>
    <w:p w:rsidR="00D83A79" w:rsidRDefault="00067F6A" w:rsidP="00E43BE5">
      <w:pPr>
        <w:rPr>
          <w:rFonts w:ascii="Times New Roman" w:hAnsi="Times New Roman"/>
          <w:bCs/>
          <w:sz w:val="28"/>
          <w:szCs w:val="28"/>
        </w:rPr>
      </w:pPr>
      <w:r>
        <w:rPr>
          <w:rFonts w:ascii="Times New Roman" w:hAnsi="Times New Roman"/>
          <w:bCs/>
          <w:sz w:val="28"/>
          <w:szCs w:val="28"/>
        </w:rPr>
        <w:t xml:space="preserve">Staff and architect are working on the due diligence items for Minnesota Housing.  Once these items are completed, then staff will be able to start </w:t>
      </w:r>
      <w:r w:rsidR="00F9099D">
        <w:rPr>
          <w:rFonts w:ascii="Times New Roman" w:hAnsi="Times New Roman"/>
          <w:bCs/>
          <w:sz w:val="28"/>
          <w:szCs w:val="28"/>
        </w:rPr>
        <w:t xml:space="preserve">to </w:t>
      </w:r>
      <w:r>
        <w:rPr>
          <w:rFonts w:ascii="Times New Roman" w:hAnsi="Times New Roman"/>
          <w:bCs/>
          <w:sz w:val="28"/>
          <w:szCs w:val="28"/>
        </w:rPr>
        <w:t xml:space="preserve">access these funds.  </w:t>
      </w:r>
      <w:r w:rsidR="00F9099D">
        <w:rPr>
          <w:rFonts w:ascii="Times New Roman" w:hAnsi="Times New Roman"/>
          <w:bCs/>
          <w:sz w:val="28"/>
          <w:szCs w:val="28"/>
        </w:rPr>
        <w:t xml:space="preserve">There are quite a few steps to this process.  </w:t>
      </w:r>
    </w:p>
    <w:p w:rsidR="00D83A79" w:rsidRDefault="00D83A79" w:rsidP="00E43BE5">
      <w:pPr>
        <w:rPr>
          <w:rFonts w:ascii="Times New Roman" w:hAnsi="Times New Roman"/>
          <w:bCs/>
          <w:sz w:val="28"/>
          <w:szCs w:val="28"/>
        </w:rPr>
      </w:pPr>
    </w:p>
    <w:p w:rsidR="000D2484" w:rsidRDefault="00F9099D" w:rsidP="00E43BE5">
      <w:pPr>
        <w:rPr>
          <w:rFonts w:ascii="Times New Roman" w:hAnsi="Times New Roman"/>
          <w:bCs/>
          <w:sz w:val="28"/>
          <w:szCs w:val="28"/>
          <w:u w:val="single"/>
        </w:rPr>
      </w:pPr>
      <w:r>
        <w:rPr>
          <w:rFonts w:ascii="Times New Roman" w:hAnsi="Times New Roman"/>
          <w:bCs/>
          <w:sz w:val="28"/>
          <w:szCs w:val="28"/>
          <w:u w:val="single"/>
        </w:rPr>
        <w:t>P</w:t>
      </w:r>
      <w:r w:rsidR="00D83A79">
        <w:rPr>
          <w:rFonts w:ascii="Times New Roman" w:hAnsi="Times New Roman"/>
          <w:bCs/>
          <w:sz w:val="28"/>
          <w:szCs w:val="28"/>
          <w:u w:val="single"/>
        </w:rPr>
        <w:t>lans &amp; Scope of Work</w:t>
      </w:r>
    </w:p>
    <w:p w:rsidR="00067F6A" w:rsidRDefault="00067F6A" w:rsidP="00067F6A">
      <w:pPr>
        <w:rPr>
          <w:rFonts w:ascii="Times New Roman" w:hAnsi="Times New Roman"/>
          <w:bCs/>
          <w:sz w:val="28"/>
          <w:szCs w:val="28"/>
        </w:rPr>
      </w:pPr>
      <w:r>
        <w:rPr>
          <w:rFonts w:ascii="Times New Roman" w:hAnsi="Times New Roman"/>
          <w:bCs/>
          <w:sz w:val="28"/>
          <w:szCs w:val="28"/>
        </w:rPr>
        <w:t>One item for the due diligence paperwork is to complete a full scope of work and plans.  Mike Hegna and other staff from Finn Daniels Architects will be completing these plans.  While they are working on them, there will be times that they will need access to units.  Residents will be</w:t>
      </w:r>
      <w:r w:rsidR="0021494B">
        <w:rPr>
          <w:rFonts w:ascii="Times New Roman" w:hAnsi="Times New Roman"/>
          <w:bCs/>
          <w:sz w:val="28"/>
          <w:szCs w:val="28"/>
        </w:rPr>
        <w:t xml:space="preserve"> given a minimum 72-hour notice</w:t>
      </w:r>
      <w:r>
        <w:rPr>
          <w:rFonts w:ascii="Times New Roman" w:hAnsi="Times New Roman"/>
          <w:bCs/>
          <w:sz w:val="28"/>
          <w:szCs w:val="28"/>
        </w:rPr>
        <w:t xml:space="preserve"> if there is a need to enter their unit.  </w:t>
      </w:r>
      <w:r w:rsidR="0021494B">
        <w:rPr>
          <w:rFonts w:ascii="Times New Roman" w:hAnsi="Times New Roman"/>
          <w:bCs/>
          <w:sz w:val="28"/>
          <w:szCs w:val="28"/>
        </w:rPr>
        <w:t xml:space="preserve">There will be no need to move any belongings during this time.  </w:t>
      </w:r>
    </w:p>
    <w:p w:rsidR="00D83A79" w:rsidRDefault="00D83A79" w:rsidP="00E43BE5">
      <w:pPr>
        <w:rPr>
          <w:rFonts w:ascii="Times New Roman" w:hAnsi="Times New Roman"/>
          <w:bCs/>
          <w:sz w:val="28"/>
          <w:szCs w:val="28"/>
          <w:u w:val="single"/>
        </w:rPr>
      </w:pPr>
    </w:p>
    <w:p w:rsidR="00F9099D" w:rsidRPr="005C68E6" w:rsidRDefault="00F9099D" w:rsidP="00F9099D">
      <w:pPr>
        <w:rPr>
          <w:rFonts w:ascii="Times New Roman" w:hAnsi="Times New Roman"/>
          <w:bCs/>
          <w:sz w:val="28"/>
          <w:szCs w:val="28"/>
          <w:u w:val="single"/>
        </w:rPr>
      </w:pPr>
      <w:r>
        <w:rPr>
          <w:rFonts w:ascii="Times New Roman" w:hAnsi="Times New Roman"/>
          <w:bCs/>
          <w:sz w:val="28"/>
          <w:szCs w:val="28"/>
          <w:u w:val="single"/>
        </w:rPr>
        <w:t>Units &amp; Waiting List</w:t>
      </w:r>
    </w:p>
    <w:p w:rsidR="00F9099D" w:rsidRDefault="00F9099D" w:rsidP="00F9099D">
      <w:pPr>
        <w:tabs>
          <w:tab w:val="left" w:pos="8640"/>
        </w:tabs>
        <w:jc w:val="both"/>
        <w:rPr>
          <w:rFonts w:ascii="Times New Roman" w:hAnsi="Times New Roman"/>
          <w:sz w:val="28"/>
          <w:szCs w:val="28"/>
        </w:rPr>
      </w:pPr>
      <w:r w:rsidRPr="00F9099D">
        <w:rPr>
          <w:rFonts w:ascii="Times New Roman" w:hAnsi="Times New Roman"/>
          <w:sz w:val="28"/>
          <w:szCs w:val="28"/>
        </w:rPr>
        <w:t xml:space="preserve">Due to the nature of the project, units that become vacant in Jordan Tower I or in the scattered sites will be taken offline due to the major renovations.  </w:t>
      </w:r>
      <w:r w:rsidR="0021494B">
        <w:rPr>
          <w:rFonts w:ascii="Times New Roman" w:hAnsi="Times New Roman"/>
          <w:sz w:val="28"/>
          <w:szCs w:val="28"/>
        </w:rPr>
        <w:t xml:space="preserve">Walls in some of these units will be opened up to be able to finalize the scope of work and after that; these units will be used as “hotel” units during the renovation process.  </w:t>
      </w:r>
      <w:r w:rsidR="002B24F5">
        <w:rPr>
          <w:rFonts w:ascii="Times New Roman" w:hAnsi="Times New Roman"/>
          <w:sz w:val="28"/>
          <w:szCs w:val="28"/>
        </w:rPr>
        <w:t>There will more information about these units once there is a general contractor selected.</w:t>
      </w:r>
    </w:p>
    <w:p w:rsidR="00F9099D" w:rsidRPr="00F9099D" w:rsidRDefault="00F9099D" w:rsidP="00F9099D">
      <w:pPr>
        <w:tabs>
          <w:tab w:val="left" w:pos="8640"/>
        </w:tabs>
        <w:jc w:val="both"/>
        <w:rPr>
          <w:rFonts w:ascii="Times New Roman" w:hAnsi="Times New Roman"/>
          <w:sz w:val="28"/>
          <w:szCs w:val="28"/>
        </w:rPr>
      </w:pPr>
    </w:p>
    <w:p w:rsidR="00F9099D" w:rsidRPr="00F9099D" w:rsidRDefault="00F9099D" w:rsidP="00F9099D">
      <w:pPr>
        <w:tabs>
          <w:tab w:val="left" w:pos="8640"/>
        </w:tabs>
        <w:jc w:val="both"/>
        <w:rPr>
          <w:rFonts w:ascii="Times New Roman" w:hAnsi="Times New Roman"/>
          <w:sz w:val="28"/>
          <w:szCs w:val="28"/>
        </w:rPr>
      </w:pPr>
      <w:r w:rsidRPr="00F9099D">
        <w:rPr>
          <w:rFonts w:ascii="Times New Roman" w:hAnsi="Times New Roman"/>
          <w:sz w:val="28"/>
          <w:szCs w:val="28"/>
        </w:rPr>
        <w:t>The HRA will be closing the waiting list for all public housing units as of February 1, 2025.  Once the major renovation is completed, the waiting list will be reopened.</w:t>
      </w:r>
    </w:p>
    <w:p w:rsidR="00D83A79" w:rsidRDefault="00D83A79" w:rsidP="00E43BE5">
      <w:pPr>
        <w:rPr>
          <w:rFonts w:ascii="Times New Roman" w:hAnsi="Times New Roman"/>
          <w:bCs/>
          <w:sz w:val="28"/>
          <w:szCs w:val="28"/>
          <w:u w:val="single"/>
        </w:rPr>
      </w:pPr>
    </w:p>
    <w:p w:rsidR="00D83A79" w:rsidRDefault="00D83A79" w:rsidP="00E43BE5">
      <w:pPr>
        <w:rPr>
          <w:rFonts w:ascii="Times New Roman" w:hAnsi="Times New Roman"/>
          <w:bCs/>
          <w:sz w:val="28"/>
          <w:szCs w:val="28"/>
          <w:u w:val="single"/>
        </w:rPr>
      </w:pPr>
      <w:r>
        <w:rPr>
          <w:rFonts w:ascii="Times New Roman" w:hAnsi="Times New Roman"/>
          <w:bCs/>
          <w:sz w:val="28"/>
          <w:szCs w:val="28"/>
          <w:u w:val="single"/>
        </w:rPr>
        <w:t>Bids for General Contractor</w:t>
      </w:r>
    </w:p>
    <w:p w:rsidR="002B24F5" w:rsidRPr="002B24F5" w:rsidRDefault="002B24F5" w:rsidP="002B24F5">
      <w:pPr>
        <w:tabs>
          <w:tab w:val="left" w:pos="8640"/>
        </w:tabs>
        <w:jc w:val="both"/>
        <w:rPr>
          <w:rFonts w:ascii="Times New Roman" w:hAnsi="Times New Roman"/>
          <w:sz w:val="28"/>
          <w:szCs w:val="28"/>
        </w:rPr>
      </w:pPr>
      <w:r w:rsidRPr="002B24F5">
        <w:rPr>
          <w:rFonts w:ascii="Times New Roman" w:hAnsi="Times New Roman"/>
          <w:sz w:val="28"/>
          <w:szCs w:val="28"/>
        </w:rPr>
        <w:t xml:space="preserve">Once the scope of </w:t>
      </w:r>
      <w:r w:rsidR="000559AC" w:rsidRPr="002B24F5">
        <w:rPr>
          <w:rFonts w:ascii="Times New Roman" w:hAnsi="Times New Roman"/>
          <w:sz w:val="28"/>
          <w:szCs w:val="28"/>
        </w:rPr>
        <w:t xml:space="preserve">work </w:t>
      </w:r>
      <w:r w:rsidR="000559AC">
        <w:rPr>
          <w:rFonts w:ascii="Times New Roman" w:hAnsi="Times New Roman"/>
          <w:sz w:val="28"/>
          <w:szCs w:val="28"/>
        </w:rPr>
        <w:t>and</w:t>
      </w:r>
      <w:r w:rsidR="008B76FC">
        <w:rPr>
          <w:rFonts w:ascii="Times New Roman" w:hAnsi="Times New Roman"/>
          <w:sz w:val="28"/>
          <w:szCs w:val="28"/>
        </w:rPr>
        <w:t xml:space="preserve"> due diligence items are</w:t>
      </w:r>
      <w:r w:rsidRPr="002B24F5">
        <w:rPr>
          <w:rFonts w:ascii="Times New Roman" w:hAnsi="Times New Roman"/>
          <w:sz w:val="28"/>
          <w:szCs w:val="28"/>
        </w:rPr>
        <w:t xml:space="preserve"> completed, we will be going out for bids for a general contractor.  After this general contractor is selected, there will be many details worked out as t</w:t>
      </w:r>
      <w:r>
        <w:rPr>
          <w:rFonts w:ascii="Times New Roman" w:hAnsi="Times New Roman"/>
          <w:sz w:val="28"/>
          <w:szCs w:val="28"/>
        </w:rPr>
        <w:t>o how the project will progress</w:t>
      </w:r>
      <w:r w:rsidRPr="002B24F5">
        <w:rPr>
          <w:rFonts w:ascii="Times New Roman" w:hAnsi="Times New Roman"/>
          <w:sz w:val="28"/>
          <w:szCs w:val="28"/>
        </w:rPr>
        <w:t xml:space="preserve"> </w:t>
      </w:r>
      <w:r w:rsidRPr="00EC738C">
        <w:rPr>
          <w:rFonts w:ascii="Times New Roman" w:hAnsi="Times New Roman"/>
          <w:sz w:val="28"/>
          <w:szCs w:val="28"/>
        </w:rPr>
        <w:t xml:space="preserve">and what will be needed from each resident to ensure this project is completed.  We will share this information with you.  </w:t>
      </w:r>
    </w:p>
    <w:p w:rsidR="00D83A79" w:rsidRPr="00D83A79" w:rsidRDefault="00D83A79" w:rsidP="00E43BE5">
      <w:pPr>
        <w:rPr>
          <w:rFonts w:ascii="Times New Roman" w:hAnsi="Times New Roman"/>
          <w:bCs/>
          <w:sz w:val="28"/>
          <w:szCs w:val="28"/>
        </w:rPr>
      </w:pPr>
    </w:p>
    <w:p w:rsidR="00D83A79" w:rsidRDefault="00D83A79" w:rsidP="00E43BE5">
      <w:pPr>
        <w:rPr>
          <w:rFonts w:ascii="Times New Roman" w:hAnsi="Times New Roman"/>
          <w:bCs/>
          <w:sz w:val="28"/>
          <w:szCs w:val="28"/>
          <w:u w:val="single"/>
        </w:rPr>
      </w:pPr>
      <w:r>
        <w:rPr>
          <w:rFonts w:ascii="Times New Roman" w:hAnsi="Times New Roman"/>
          <w:bCs/>
          <w:sz w:val="28"/>
          <w:szCs w:val="28"/>
          <w:u w:val="single"/>
        </w:rPr>
        <w:t>Notice</w:t>
      </w:r>
      <w:r w:rsidR="00E207FB">
        <w:rPr>
          <w:rFonts w:ascii="Times New Roman" w:hAnsi="Times New Roman"/>
          <w:bCs/>
          <w:sz w:val="28"/>
          <w:szCs w:val="28"/>
          <w:u w:val="single"/>
        </w:rPr>
        <w:t>s</w:t>
      </w:r>
    </w:p>
    <w:p w:rsidR="002B24F5" w:rsidRDefault="002B24F5" w:rsidP="002B24F5">
      <w:pPr>
        <w:rPr>
          <w:rFonts w:ascii="Times New Roman" w:hAnsi="Times New Roman"/>
          <w:sz w:val="28"/>
          <w:szCs w:val="28"/>
        </w:rPr>
      </w:pPr>
      <w:r w:rsidRPr="00EC738C">
        <w:rPr>
          <w:rFonts w:ascii="Times New Roman" w:hAnsi="Times New Roman"/>
          <w:sz w:val="28"/>
          <w:szCs w:val="28"/>
        </w:rPr>
        <w:t xml:space="preserve">During this whole process of the renovation. HRA staff are committed to ensuring that all residents are informed to each step of the process.  There will be updates in the monthly Tower Talk, on the HRA bulletin board located on first floor, and updates posted on the HRA website.  </w:t>
      </w:r>
    </w:p>
    <w:p w:rsidR="00D83A79" w:rsidRDefault="00D83A79" w:rsidP="00E43BE5">
      <w:pPr>
        <w:rPr>
          <w:rFonts w:ascii="Times New Roman" w:hAnsi="Times New Roman"/>
          <w:bCs/>
          <w:sz w:val="16"/>
          <w:szCs w:val="16"/>
        </w:rPr>
      </w:pPr>
    </w:p>
    <w:p w:rsidR="00D83A79" w:rsidRDefault="00D83A79" w:rsidP="00E43BE5">
      <w:pPr>
        <w:rPr>
          <w:rFonts w:ascii="Times New Roman" w:hAnsi="Times New Roman"/>
          <w:bCs/>
          <w:sz w:val="16"/>
          <w:szCs w:val="16"/>
        </w:rPr>
      </w:pPr>
    </w:p>
    <w:p w:rsidR="00D83A79" w:rsidRPr="005C68E6" w:rsidRDefault="00D83A79" w:rsidP="00E43BE5">
      <w:pPr>
        <w:rPr>
          <w:rFonts w:ascii="Times New Roman" w:hAnsi="Times New Roman"/>
          <w:bCs/>
          <w:sz w:val="16"/>
          <w:szCs w:val="16"/>
        </w:rPr>
      </w:pPr>
    </w:p>
    <w:sectPr w:rsidR="00D83A79" w:rsidRPr="005C68E6" w:rsidSect="005C68E6">
      <w:headerReference w:type="default" r:id="rId7"/>
      <w:footerReference w:type="default" r:id="rId8"/>
      <w:pgSz w:w="12240" w:h="15840"/>
      <w:pgMar w:top="1440" w:right="900" w:bottom="81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D0" w:rsidRDefault="00942CD0">
      <w:r>
        <w:separator/>
      </w:r>
    </w:p>
  </w:endnote>
  <w:endnote w:type="continuationSeparator" w:id="0">
    <w:p w:rsidR="00942CD0" w:rsidRDefault="0094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24" w:rsidRPr="00FB6D48" w:rsidRDefault="009E0B32" w:rsidP="00FB6D48">
    <w:pPr>
      <w:rPr>
        <w:noProof/>
        <w:sz w:val="18"/>
        <w:u w:val="single"/>
      </w:rPr>
    </w:pPr>
    <w:r>
      <w:rPr>
        <w:noProof/>
        <w:sz w:val="18"/>
      </w:rPr>
      <w:t>2/12/2025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D0" w:rsidRDefault="00942CD0">
      <w:r>
        <w:separator/>
      </w:r>
    </w:p>
  </w:footnote>
  <w:footnote w:type="continuationSeparator" w:id="0">
    <w:p w:rsidR="00942CD0" w:rsidRDefault="0094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24" w:rsidRDefault="00FC5124">
    <w:pPr>
      <w:pStyle w:val="Title"/>
      <w:rPr>
        <w:sz w:val="16"/>
      </w:rPr>
    </w:pPr>
  </w:p>
  <w:p w:rsidR="00FC5124" w:rsidRDefault="00606157">
    <w:pPr>
      <w:pStyle w:val="Title"/>
    </w:pPr>
    <w:r w:rsidRPr="00606157">
      <w:drawing>
        <wp:anchor distT="0" distB="0" distL="114300" distR="114300" simplePos="0" relativeHeight="251658240" behindDoc="1" locked="0" layoutInCell="1" allowOverlap="1">
          <wp:simplePos x="0" y="0"/>
          <wp:positionH relativeFrom="column">
            <wp:posOffset>314325</wp:posOffset>
          </wp:positionH>
          <wp:positionV relativeFrom="paragraph">
            <wp:posOffset>81280</wp:posOffset>
          </wp:positionV>
          <wp:extent cx="1120140" cy="876300"/>
          <wp:effectExtent l="0" t="0" r="3810" b="0"/>
          <wp:wrapTight wrapText="bothSides">
            <wp:wrapPolygon edited="0">
              <wp:start x="0" y="0"/>
              <wp:lineTo x="0" y="21130"/>
              <wp:lineTo x="21306" y="21130"/>
              <wp:lineTo x="21306" y="0"/>
              <wp:lineTo x="0" y="0"/>
            </wp:wrapPolygon>
          </wp:wrapTight>
          <wp:docPr id="18" name="Picture 18" descr="C:\Users\jcook\Desktop\Odds and Ends\white hous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ok\Desktop\Odds and Ends\white house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124" w:rsidRDefault="00FC5124">
    <w:pPr>
      <w:pStyle w:val="Title"/>
    </w:pPr>
    <w:r>
      <w:t>Red Wing Housing &amp; Redevelopment Authority</w:t>
    </w:r>
  </w:p>
  <w:p w:rsidR="00FC5124" w:rsidRDefault="00FC5124">
    <w:pPr>
      <w:jc w:val="center"/>
      <w:rPr>
        <w:noProof/>
        <w:sz w:val="8"/>
      </w:rPr>
    </w:pPr>
  </w:p>
  <w:p w:rsidR="00FC5124" w:rsidRDefault="007214FE" w:rsidP="007214FE">
    <w:pPr>
      <w:rPr>
        <w:noProof/>
        <w:sz w:val="18"/>
      </w:rPr>
    </w:pPr>
    <w:r>
      <w:rPr>
        <w:noProof/>
        <w:sz w:val="18"/>
      </w:rPr>
      <w:t xml:space="preserve">                      </w:t>
    </w:r>
    <w:r w:rsidR="0009592B">
      <w:rPr>
        <w:noProof/>
        <w:sz w:val="18"/>
      </w:rPr>
      <w:t xml:space="preserve"> 428 West Fifth Street </w:t>
    </w:r>
    <w:r w:rsidR="00FC5124">
      <w:rPr>
        <w:noProof/>
        <w:sz w:val="18"/>
      </w:rPr>
      <w:t xml:space="preserve">              </w:t>
    </w:r>
    <w:r w:rsidR="0009592B">
      <w:rPr>
        <w:noProof/>
        <w:sz w:val="18"/>
      </w:rPr>
      <w:tab/>
    </w:r>
    <w:r w:rsidR="0009592B">
      <w:rPr>
        <w:noProof/>
        <w:sz w:val="18"/>
      </w:rPr>
      <w:tab/>
      <w:t xml:space="preserve"> </w:t>
    </w:r>
    <w:r w:rsidR="00FC5124">
      <w:rPr>
        <w:noProof/>
        <w:sz w:val="18"/>
      </w:rPr>
      <w:t xml:space="preserve">Telephone </w:t>
    </w:r>
    <w:r w:rsidR="003D6199">
      <w:rPr>
        <w:noProof/>
        <w:sz w:val="18"/>
      </w:rPr>
      <w:t xml:space="preserve"> </w:t>
    </w:r>
    <w:r w:rsidR="00EE6258">
      <w:rPr>
        <w:noProof/>
        <w:sz w:val="18"/>
      </w:rPr>
      <w:t>(651) 388</w:t>
    </w:r>
    <w:r w:rsidR="00FC5124">
      <w:rPr>
        <w:noProof/>
        <w:sz w:val="18"/>
      </w:rPr>
      <w:t>-</w:t>
    </w:r>
    <w:r w:rsidR="003D6199">
      <w:rPr>
        <w:noProof/>
        <w:sz w:val="18"/>
      </w:rPr>
      <w:t>7571</w:t>
    </w:r>
  </w:p>
  <w:p w:rsidR="00FC5124" w:rsidRDefault="00FC5124">
    <w:pPr>
      <w:rPr>
        <w:noProof/>
        <w:sz w:val="18"/>
      </w:rPr>
    </w:pPr>
    <w:r>
      <w:rPr>
        <w:noProof/>
        <w:sz w:val="18"/>
      </w:rPr>
      <w:t xml:space="preserve">             </w:t>
    </w:r>
    <w:r w:rsidR="00606157">
      <w:rPr>
        <w:noProof/>
        <w:sz w:val="18"/>
      </w:rPr>
      <w:t xml:space="preserve">         </w:t>
    </w:r>
    <w:r>
      <w:rPr>
        <w:noProof/>
        <w:sz w:val="18"/>
      </w:rPr>
      <w:t xml:space="preserve"> Red Wing, MN    55066 </w:t>
    </w:r>
    <w:r>
      <w:rPr>
        <w:noProof/>
        <w:sz w:val="18"/>
      </w:rPr>
      <w:tab/>
    </w:r>
    <w:r>
      <w:rPr>
        <w:noProof/>
        <w:sz w:val="18"/>
      </w:rPr>
      <w:tab/>
    </w:r>
    <w:r w:rsidR="0009592B">
      <w:rPr>
        <w:noProof/>
        <w:sz w:val="18"/>
      </w:rPr>
      <w:t xml:space="preserve"> </w:t>
    </w:r>
    <w:r w:rsidR="003D6199">
      <w:rPr>
        <w:noProof/>
        <w:sz w:val="18"/>
      </w:rPr>
      <w:tab/>
    </w:r>
    <w:r w:rsidR="00606157">
      <w:rPr>
        <w:noProof/>
        <w:sz w:val="18"/>
      </w:rPr>
      <w:t xml:space="preserve"> </w:t>
    </w:r>
    <w:r>
      <w:rPr>
        <w:noProof/>
        <w:sz w:val="18"/>
      </w:rPr>
      <w:t xml:space="preserve">FAX  (651) 385-0551          </w:t>
    </w:r>
  </w:p>
  <w:p w:rsidR="00FC5124" w:rsidRDefault="003D6199" w:rsidP="003D6199">
    <w:pPr>
      <w:rPr>
        <w:noProof/>
        <w:sz w:val="18"/>
      </w:rPr>
    </w:pPr>
    <w:r>
      <w:rPr>
        <w:noProof/>
        <w:sz w:val="18"/>
      </w:rPr>
      <w:tab/>
    </w:r>
    <w:r w:rsidR="00606157">
      <w:rPr>
        <w:noProof/>
        <w:sz w:val="18"/>
      </w:rPr>
      <w:t xml:space="preserve">            </w:t>
    </w:r>
    <w:r>
      <w:rPr>
        <w:noProof/>
        <w:sz w:val="18"/>
      </w:rPr>
      <w:t xml:space="preserve">TDD/TTY 7-1-1          </w:t>
    </w:r>
    <w:r>
      <w:rPr>
        <w:noProof/>
        <w:sz w:val="18"/>
      </w:rPr>
      <w:tab/>
    </w:r>
    <w:r>
      <w:rPr>
        <w:noProof/>
        <w:sz w:val="18"/>
      </w:rPr>
      <w:tab/>
    </w:r>
    <w:r>
      <w:rPr>
        <w:noProof/>
        <w:sz w:val="18"/>
      </w:rPr>
      <w:tab/>
    </w:r>
    <w:r w:rsidR="008D382B">
      <w:rPr>
        <w:noProof/>
        <w:sz w:val="18"/>
      </w:rPr>
      <w:t xml:space="preserve"> </w:t>
    </w:r>
    <w:r w:rsidR="00FC5124">
      <w:rPr>
        <w:noProof/>
        <w:sz w:val="18"/>
      </w:rPr>
      <w:t>www.redwinghra.org</w:t>
    </w:r>
  </w:p>
  <w:p w:rsidR="00FC5124" w:rsidRDefault="00FC5124">
    <w:pPr>
      <w:rPr>
        <w:noProof/>
        <w:sz w:val="18"/>
        <w:u w:val="single"/>
      </w:rPr>
    </w:pPr>
    <w:r>
      <w:rPr>
        <w:noProof/>
        <w:sz w:val="18"/>
      </w:rPr>
      <w:tab/>
    </w:r>
    <w:r>
      <w:rPr>
        <w:noProof/>
        <w:sz w:val="18"/>
      </w:rPr>
      <w:tab/>
    </w:r>
  </w:p>
  <w:p w:rsidR="00FC5124" w:rsidRDefault="00FC5124">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CB"/>
    <w:multiLevelType w:val="hybridMultilevel"/>
    <w:tmpl w:val="274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273"/>
    <w:multiLevelType w:val="hybridMultilevel"/>
    <w:tmpl w:val="128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725EF"/>
    <w:multiLevelType w:val="hybridMultilevel"/>
    <w:tmpl w:val="D7800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356658"/>
    <w:multiLevelType w:val="hybridMultilevel"/>
    <w:tmpl w:val="9A36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B44AB"/>
    <w:multiLevelType w:val="hybridMultilevel"/>
    <w:tmpl w:val="3618A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A20A16"/>
    <w:multiLevelType w:val="hybridMultilevel"/>
    <w:tmpl w:val="4FB420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4187"/>
    <w:multiLevelType w:val="hybridMultilevel"/>
    <w:tmpl w:val="9AA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6F"/>
    <w:rsid w:val="00045C1F"/>
    <w:rsid w:val="000467E8"/>
    <w:rsid w:val="000559AC"/>
    <w:rsid w:val="00067F6A"/>
    <w:rsid w:val="0009592B"/>
    <w:rsid w:val="000D013C"/>
    <w:rsid w:val="000D2484"/>
    <w:rsid w:val="000F0FC8"/>
    <w:rsid w:val="001265F1"/>
    <w:rsid w:val="0016020F"/>
    <w:rsid w:val="00161665"/>
    <w:rsid w:val="00181FA3"/>
    <w:rsid w:val="00197CF1"/>
    <w:rsid w:val="0021494B"/>
    <w:rsid w:val="00217F7F"/>
    <w:rsid w:val="00220EA5"/>
    <w:rsid w:val="0022711C"/>
    <w:rsid w:val="0023454A"/>
    <w:rsid w:val="0026520D"/>
    <w:rsid w:val="002B24F5"/>
    <w:rsid w:val="002C1D4B"/>
    <w:rsid w:val="002C3653"/>
    <w:rsid w:val="0034485E"/>
    <w:rsid w:val="0038445E"/>
    <w:rsid w:val="003D28F3"/>
    <w:rsid w:val="003D6199"/>
    <w:rsid w:val="004106C9"/>
    <w:rsid w:val="004156FE"/>
    <w:rsid w:val="00452165"/>
    <w:rsid w:val="00464AB1"/>
    <w:rsid w:val="00482AC4"/>
    <w:rsid w:val="004867AC"/>
    <w:rsid w:val="004A4D1D"/>
    <w:rsid w:val="004D4EA5"/>
    <w:rsid w:val="005007A0"/>
    <w:rsid w:val="00510BDF"/>
    <w:rsid w:val="005A60F0"/>
    <w:rsid w:val="005C68E6"/>
    <w:rsid w:val="00606157"/>
    <w:rsid w:val="00613B9E"/>
    <w:rsid w:val="006636A8"/>
    <w:rsid w:val="006728F0"/>
    <w:rsid w:val="00695584"/>
    <w:rsid w:val="006A57CF"/>
    <w:rsid w:val="006D1313"/>
    <w:rsid w:val="006E069E"/>
    <w:rsid w:val="006E0FFF"/>
    <w:rsid w:val="007003EF"/>
    <w:rsid w:val="007142F4"/>
    <w:rsid w:val="007214FE"/>
    <w:rsid w:val="00724AB6"/>
    <w:rsid w:val="00760C28"/>
    <w:rsid w:val="007667FB"/>
    <w:rsid w:val="0077236F"/>
    <w:rsid w:val="00781CD6"/>
    <w:rsid w:val="0078644F"/>
    <w:rsid w:val="00786F24"/>
    <w:rsid w:val="00795B03"/>
    <w:rsid w:val="007B5D07"/>
    <w:rsid w:val="007B5ECD"/>
    <w:rsid w:val="0089141C"/>
    <w:rsid w:val="008B76FC"/>
    <w:rsid w:val="008D382B"/>
    <w:rsid w:val="008F6ECF"/>
    <w:rsid w:val="00942CD0"/>
    <w:rsid w:val="00965B27"/>
    <w:rsid w:val="00974CF9"/>
    <w:rsid w:val="009823B9"/>
    <w:rsid w:val="009B2955"/>
    <w:rsid w:val="009E0B32"/>
    <w:rsid w:val="009E5502"/>
    <w:rsid w:val="00A02A39"/>
    <w:rsid w:val="00A663EB"/>
    <w:rsid w:val="00AD0FE3"/>
    <w:rsid w:val="00AD21B2"/>
    <w:rsid w:val="00AF4AFA"/>
    <w:rsid w:val="00C1136A"/>
    <w:rsid w:val="00C11753"/>
    <w:rsid w:val="00C279D0"/>
    <w:rsid w:val="00C87194"/>
    <w:rsid w:val="00CC4A87"/>
    <w:rsid w:val="00CC784F"/>
    <w:rsid w:val="00CE35F9"/>
    <w:rsid w:val="00CE431A"/>
    <w:rsid w:val="00D0395C"/>
    <w:rsid w:val="00D222F8"/>
    <w:rsid w:val="00D328E5"/>
    <w:rsid w:val="00D45C47"/>
    <w:rsid w:val="00D53B06"/>
    <w:rsid w:val="00D6036D"/>
    <w:rsid w:val="00D83A79"/>
    <w:rsid w:val="00E207FB"/>
    <w:rsid w:val="00E21953"/>
    <w:rsid w:val="00E30476"/>
    <w:rsid w:val="00E43BE5"/>
    <w:rsid w:val="00E65A75"/>
    <w:rsid w:val="00E676A7"/>
    <w:rsid w:val="00EA383F"/>
    <w:rsid w:val="00EB335E"/>
    <w:rsid w:val="00EC738C"/>
    <w:rsid w:val="00ED05B2"/>
    <w:rsid w:val="00EE6258"/>
    <w:rsid w:val="00F404B2"/>
    <w:rsid w:val="00F51EC5"/>
    <w:rsid w:val="00F70D6E"/>
    <w:rsid w:val="00F75E62"/>
    <w:rsid w:val="00F822C2"/>
    <w:rsid w:val="00F9099D"/>
    <w:rsid w:val="00FB6D48"/>
    <w:rsid w:val="00FC5124"/>
    <w:rsid w:val="00FC71A0"/>
    <w:rsid w:val="00FD2B00"/>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C2A8F0-76E0-4995-8AB4-F2FD0FDE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noProof/>
      <w:sz w:val="28"/>
    </w:rPr>
  </w:style>
  <w:style w:type="character" w:styleId="Hyperlink">
    <w:name w:val="Hyperlink"/>
    <w:rPr>
      <w:color w:val="0000FF"/>
      <w:u w:val="single"/>
    </w:rPr>
  </w:style>
  <w:style w:type="paragraph" w:styleId="BodyText">
    <w:name w:val="Body Text"/>
    <w:basedOn w:val="Normal"/>
    <w:pPr>
      <w:jc w:val="both"/>
    </w:pPr>
    <w:rPr>
      <w:rFonts w:ascii="Courier New" w:hAnsi="Courier New" w:cs="Courier New"/>
      <w:sz w:val="24"/>
    </w:rPr>
  </w:style>
  <w:style w:type="paragraph" w:styleId="BodyText2">
    <w:name w:val="Body Text 2"/>
    <w:basedOn w:val="Normal"/>
    <w:pPr>
      <w:jc w:val="both"/>
    </w:pPr>
    <w:rPr>
      <w:rFonts w:cs="Arial"/>
      <w:b/>
      <w:bCs/>
      <w:color w:val="000000"/>
      <w:sz w:val="32"/>
    </w:rPr>
  </w:style>
  <w:style w:type="paragraph" w:styleId="BalloonText">
    <w:name w:val="Balloon Text"/>
    <w:basedOn w:val="Normal"/>
    <w:semiHidden/>
    <w:rsid w:val="00786F24"/>
    <w:rPr>
      <w:rFonts w:ascii="Tahoma" w:hAnsi="Tahoma" w:cs="Tahoma"/>
      <w:sz w:val="16"/>
      <w:szCs w:val="16"/>
    </w:rPr>
  </w:style>
  <w:style w:type="paragraph" w:styleId="ListParagraph">
    <w:name w:val="List Paragraph"/>
    <w:basedOn w:val="Normal"/>
    <w:uiPriority w:val="34"/>
    <w:qFormat/>
    <w:rsid w:val="00E67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31 October 2000</vt:lpstr>
    </vt:vector>
  </TitlesOfParts>
  <Company>Red Wing HRA</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October 2000</dc:title>
  <dc:creator>Jennifer Cook</dc:creator>
  <cp:lastModifiedBy>Jennifer Cook</cp:lastModifiedBy>
  <cp:revision>13</cp:revision>
  <cp:lastPrinted>2025-01-13T18:26:00Z</cp:lastPrinted>
  <dcterms:created xsi:type="dcterms:W3CDTF">2025-01-14T20:22:00Z</dcterms:created>
  <dcterms:modified xsi:type="dcterms:W3CDTF">2025-02-11T18:39:00Z</dcterms:modified>
</cp:coreProperties>
</file>